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Rahmenvertrag für Vermessungsarbeiten 2026 bis 2028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